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994E" w14:textId="57D90358" w:rsidR="006B6C69" w:rsidRPr="006B6C69" w:rsidRDefault="006B6C69" w:rsidP="006B6C69">
      <w:pPr>
        <w:pStyle w:val="Header"/>
        <w:rPr>
          <w:bCs/>
          <w:noProof w:val="0"/>
          <w:sz w:val="24"/>
          <w:szCs w:val="24"/>
        </w:rPr>
      </w:pPr>
      <w:r w:rsidRPr="006B6C69">
        <w:rPr>
          <w:bCs/>
          <w:noProof w:val="0"/>
          <w:sz w:val="24"/>
          <w:szCs w:val="24"/>
        </w:rPr>
        <w:t xml:space="preserve">3GPP TSG-RAN WG2 NR Adhoc #2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6B6C69">
        <w:rPr>
          <w:bCs/>
          <w:noProof w:val="0"/>
          <w:sz w:val="24"/>
          <w:szCs w:val="24"/>
        </w:rPr>
        <w:t>R2-17</w:t>
      </w:r>
      <w:r w:rsidR="00AA13B5">
        <w:rPr>
          <w:bCs/>
          <w:noProof w:val="0"/>
          <w:sz w:val="24"/>
          <w:szCs w:val="24"/>
        </w:rPr>
        <w:t>06489</w:t>
      </w:r>
      <w:r w:rsidRPr="006B6C69">
        <w:rPr>
          <w:bCs/>
          <w:noProof w:val="0"/>
          <w:sz w:val="24"/>
          <w:szCs w:val="24"/>
        </w:rPr>
        <w:t xml:space="preserve"> </w:t>
      </w:r>
    </w:p>
    <w:p w14:paraId="64ED16FD" w14:textId="0FB5F6DE" w:rsidR="00F23DCC" w:rsidRPr="00B266B0" w:rsidRDefault="006B6C69" w:rsidP="006B6C69">
      <w:pPr>
        <w:pStyle w:val="Header"/>
        <w:rPr>
          <w:bCs/>
          <w:noProof w:val="0"/>
          <w:sz w:val="24"/>
        </w:rPr>
      </w:pPr>
      <w:r w:rsidRPr="006B6C69">
        <w:rPr>
          <w:bCs/>
          <w:noProof w:val="0"/>
          <w:sz w:val="24"/>
          <w:szCs w:val="24"/>
        </w:rPr>
        <w:t>Qingdao, China, 27 - 29 June 2017</w:t>
      </w:r>
    </w:p>
    <w:p w14:paraId="7697DCB8" w14:textId="01440427" w:rsidR="00F23DCC" w:rsidRDefault="00F23DCC" w:rsidP="00F23DCC">
      <w:pPr>
        <w:pStyle w:val="Header"/>
        <w:rPr>
          <w:bCs/>
          <w:noProof w:val="0"/>
          <w:sz w:val="24"/>
        </w:rPr>
      </w:pPr>
    </w:p>
    <w:p w14:paraId="295FEB31" w14:textId="131CD695" w:rsidR="006B6C69" w:rsidRDefault="006B6C69" w:rsidP="00F23DCC">
      <w:pPr>
        <w:pStyle w:val="Header"/>
        <w:rPr>
          <w:bCs/>
          <w:noProof w:val="0"/>
          <w:sz w:val="24"/>
        </w:rPr>
      </w:pPr>
    </w:p>
    <w:p w14:paraId="5460C9F3" w14:textId="77777777" w:rsidR="006B6C69" w:rsidRPr="00B266B0" w:rsidRDefault="006B6C69" w:rsidP="00F23DCC">
      <w:pPr>
        <w:pStyle w:val="Header"/>
        <w:rPr>
          <w:bCs/>
          <w:noProof w:val="0"/>
          <w:sz w:val="24"/>
        </w:rPr>
      </w:pPr>
    </w:p>
    <w:p w14:paraId="3AFB85DD" w14:textId="016C0D25"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43F0" w:rsidRPr="00471897">
        <w:rPr>
          <w:rFonts w:cs="Arial"/>
          <w:b/>
          <w:bCs/>
          <w:sz w:val="24"/>
          <w:lang w:eastAsia="ja-JP"/>
        </w:rPr>
        <w:t>10.2.8</w:t>
      </w:r>
    </w:p>
    <w:p w14:paraId="5E4B5569"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B188D17" w14:textId="245388F8"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7E56">
        <w:rPr>
          <w:rFonts w:ascii="Arial" w:hAnsi="Arial" w:cs="Arial"/>
          <w:b/>
          <w:bCs/>
          <w:sz w:val="24"/>
        </w:rPr>
        <w:t>Conditional handover</w:t>
      </w:r>
      <w:r w:rsidR="00AA13B5">
        <w:rPr>
          <w:rFonts w:ascii="Arial" w:hAnsi="Arial" w:cs="Arial"/>
          <w:b/>
          <w:bCs/>
          <w:sz w:val="24"/>
        </w:rPr>
        <w:t xml:space="preserve"> – basic aspects and</w:t>
      </w:r>
      <w:r w:rsidR="001744BA">
        <w:rPr>
          <w:rFonts w:ascii="Arial" w:hAnsi="Arial" w:cs="Arial"/>
          <w:b/>
          <w:bCs/>
          <w:sz w:val="24"/>
        </w:rPr>
        <w:t xml:space="preserve"> feasibility in Rel-15</w:t>
      </w:r>
    </w:p>
    <w:p w14:paraId="47E96D11" w14:textId="01A1C331"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7BB629C1" w14:textId="2940FBF7" w:rsidR="00F23DCC" w:rsidRDefault="002E7B17" w:rsidP="00F23DCC">
      <w:pPr>
        <w:rPr>
          <w:rFonts w:eastAsia="MS Mincho"/>
          <w:lang w:val="en-US" w:eastAsia="ja-JP"/>
        </w:rPr>
      </w:pPr>
      <w:r>
        <w:rPr>
          <w:rFonts w:eastAsia="MS Mincho"/>
          <w:lang w:val="en-US" w:eastAsia="ja-JP"/>
        </w:rPr>
        <w:t xml:space="preserve">The following </w:t>
      </w:r>
      <w:r w:rsidR="00253E77">
        <w:rPr>
          <w:rFonts w:eastAsia="MS Mincho"/>
          <w:lang w:val="en-US" w:eastAsia="ja-JP"/>
        </w:rPr>
        <w:t>way forward</w:t>
      </w:r>
      <w:r>
        <w:rPr>
          <w:rFonts w:eastAsia="MS Mincho"/>
          <w:lang w:val="en-US" w:eastAsia="ja-JP"/>
        </w:rPr>
        <w:t xml:space="preserve"> </w:t>
      </w:r>
      <w:r w:rsidR="00253E77">
        <w:rPr>
          <w:rFonts w:eastAsia="MS Mincho"/>
          <w:lang w:val="en-US" w:eastAsia="ja-JP"/>
        </w:rPr>
        <w:t>was agreed in RAN</w:t>
      </w:r>
      <w:r w:rsidR="007343F0">
        <w:rPr>
          <w:rFonts w:eastAsia="MS Mincho"/>
          <w:lang w:val="en-US" w:eastAsia="ja-JP"/>
        </w:rPr>
        <w:t>#</w:t>
      </w:r>
      <w:r w:rsidR="00253E77">
        <w:rPr>
          <w:rFonts w:eastAsia="MS Mincho"/>
          <w:lang w:val="en-US" w:eastAsia="ja-JP"/>
        </w:rPr>
        <w:t>97bis meeting on reliability</w:t>
      </w:r>
      <w:r w:rsidR="007343F0">
        <w:rPr>
          <w:rFonts w:eastAsia="MS Mincho"/>
          <w:lang w:val="en-US" w:eastAsia="ja-JP"/>
        </w:rPr>
        <w:t>-</w:t>
      </w:r>
      <w:r w:rsidR="00253E77">
        <w:rPr>
          <w:rFonts w:eastAsia="MS Mincho"/>
          <w:lang w:val="en-US" w:eastAsia="ja-JP"/>
        </w:rPr>
        <w:t>related handover optimizations</w:t>
      </w:r>
      <w:r>
        <w:rPr>
          <w:rFonts w:eastAsia="MS Mincho"/>
          <w:lang w:val="en-US" w:eastAsia="ja-JP"/>
        </w:rPr>
        <w:t>:</w:t>
      </w:r>
    </w:p>
    <w:p w14:paraId="16606564" w14:textId="255D9AA2" w:rsidR="002E7B17" w:rsidRPr="001349C4" w:rsidRDefault="002E7B17" w:rsidP="00253E77">
      <w:pPr>
        <w:pStyle w:val="Doc-text2"/>
        <w:pBdr>
          <w:top w:val="single" w:sz="4" w:space="1" w:color="auto"/>
          <w:left w:val="single" w:sz="4" w:space="4" w:color="auto"/>
          <w:bottom w:val="single" w:sz="4" w:space="1" w:color="auto"/>
          <w:right w:val="single" w:sz="4" w:space="4" w:color="auto"/>
        </w:pBdr>
        <w:ind w:left="0" w:firstLine="0"/>
      </w:pPr>
      <w:r w:rsidRPr="001349C4">
        <w:t xml:space="preserve">We will progress the basic HO mechanism for NR and when stable we can discuss </w:t>
      </w:r>
      <w:r>
        <w:t xml:space="preserve">whether to </w:t>
      </w:r>
      <w:r w:rsidRPr="001349C4">
        <w:t>support conditional handover and discuss other potential optimisations.</w:t>
      </w:r>
    </w:p>
    <w:p w14:paraId="4E7F004C" w14:textId="30183713" w:rsidR="002E7B17" w:rsidRPr="006E13D1" w:rsidRDefault="00A079AD" w:rsidP="00A079AD">
      <w:pPr>
        <w:spacing w:before="180"/>
      </w:pPr>
      <w:r>
        <w:t xml:space="preserve">In this contribution, we discuss the overall feasibility of </w:t>
      </w:r>
      <w:r w:rsidR="00FF556E">
        <w:t>conditional handover</w:t>
      </w:r>
      <w:r>
        <w:t xml:space="preserve"> and point out some areas where further studies may be needed.</w:t>
      </w:r>
    </w:p>
    <w:p w14:paraId="38288425" w14:textId="3852944D" w:rsidR="003D5E33" w:rsidRDefault="00F23DCC" w:rsidP="003D5E33">
      <w:pPr>
        <w:pStyle w:val="Heading1"/>
      </w:pPr>
      <w:r w:rsidRPr="006E13D1">
        <w:t>2</w:t>
      </w:r>
      <w:r w:rsidRPr="006E13D1">
        <w:tab/>
      </w:r>
      <w:r>
        <w:t>Discussion</w:t>
      </w:r>
    </w:p>
    <w:p w14:paraId="20D6F0EB" w14:textId="3D0EFD10" w:rsidR="00253E77" w:rsidRDefault="00253E77" w:rsidP="001806C5">
      <w:pPr>
        <w:jc w:val="both"/>
      </w:pPr>
      <w:r>
        <w:t xml:space="preserve">The </w:t>
      </w:r>
      <w:r w:rsidR="007E713E">
        <w:t>basic idea of the conditional handover (CHO) is to reduce the number of radio link failures (RLF</w:t>
      </w:r>
      <w:r w:rsidR="007343F0">
        <w:t>s</w:t>
      </w:r>
      <w:r w:rsidR="007E713E">
        <w:t>) during handover</w:t>
      </w:r>
      <w:r w:rsidR="00EB04AE">
        <w:t xml:space="preserve"> compared to conventional network controlled </w:t>
      </w:r>
      <w:r w:rsidR="00FF556E">
        <w:t>handover</w:t>
      </w:r>
      <w:r w:rsidR="00EB04AE">
        <w:t xml:space="preserve"> (NWHO)</w:t>
      </w:r>
      <w:r w:rsidR="007E713E">
        <w:t>. Such failur</w:t>
      </w:r>
      <w:r w:rsidR="00EB04AE">
        <w:t xml:space="preserve">es may be due to UE missing the HO command (or failing to </w:t>
      </w:r>
      <w:r w:rsidR="007343F0">
        <w:t xml:space="preserve">successfully </w:t>
      </w:r>
      <w:r w:rsidR="00EB04AE">
        <w:t>send the MR) in the source cell, or UE failing to access the target cell.</w:t>
      </w:r>
      <w:r w:rsidR="007E713E">
        <w:t xml:space="preserve"> </w:t>
      </w:r>
      <w:r w:rsidR="00EB04AE">
        <w:t xml:space="preserve">The CHO allows UE to receive the HO command a bit earlier than with NWHO and to access the target cell a bit later than </w:t>
      </w:r>
      <w:r w:rsidR="007343F0">
        <w:t>in case of</w:t>
      </w:r>
      <w:r w:rsidR="00EB04AE">
        <w:t xml:space="preserve"> NWHO, hence lowering the risk of </w:t>
      </w:r>
      <w:r w:rsidR="000E212C">
        <w:t>failures (</w:t>
      </w:r>
      <w:r w:rsidR="00EB04AE">
        <w:t xml:space="preserve">RLF </w:t>
      </w:r>
      <w:r w:rsidR="000E212C">
        <w:t xml:space="preserve">or handover failure) </w:t>
      </w:r>
      <w:r w:rsidR="00EB04AE">
        <w:t>during HO.</w:t>
      </w:r>
    </w:p>
    <w:p w14:paraId="73BC6B7E" w14:textId="72259EA1" w:rsidR="00EB04AE" w:rsidRDefault="00B775EE" w:rsidP="00C60FFB">
      <w:pPr>
        <w:jc w:val="both"/>
      </w:pPr>
      <w:r>
        <w:t xml:space="preserve">The CHO is expected to improve the HO robustness </w:t>
      </w:r>
      <w:r w:rsidR="00DF4B4A">
        <w:t>of</w:t>
      </w:r>
      <w:r>
        <w:t xml:space="preserve"> both LF and HF bands. </w:t>
      </w:r>
      <w:r w:rsidR="00DF4B4A">
        <w:t xml:space="preserve">According to the evaluation in </w:t>
      </w:r>
      <w:r w:rsidR="007343F0">
        <w:fldChar w:fldCharType="begin"/>
      </w:r>
      <w:r w:rsidR="007343F0">
        <w:instrText xml:space="preserve"> REF _Ref485115215 \r \h </w:instrText>
      </w:r>
      <w:r w:rsidR="007343F0">
        <w:fldChar w:fldCharType="separate"/>
      </w:r>
      <w:r w:rsidR="007343F0">
        <w:t>[1]</w:t>
      </w:r>
      <w:r w:rsidR="007343F0">
        <w:fldChar w:fldCharType="end"/>
      </w:r>
      <w:r w:rsidR="00DF4B4A">
        <w:t>, t</w:t>
      </w:r>
      <w:r w:rsidR="001C7258">
        <w:t xml:space="preserve">he </w:t>
      </w:r>
      <w:r w:rsidR="00DF4B4A">
        <w:t>CHO may be particularly useful for compensating the handover problems in</w:t>
      </w:r>
      <w:r w:rsidR="001C7258">
        <w:t xml:space="preserve"> </w:t>
      </w:r>
      <w:r w:rsidR="001806C5">
        <w:t xml:space="preserve">high frequency (HF) bands, </w:t>
      </w:r>
      <w:r w:rsidR="00A079AD">
        <w:t>stemming</w:t>
      </w:r>
      <w:r w:rsidR="00540DDA">
        <w:t xml:space="preserve"> from </w:t>
      </w:r>
      <w:r w:rsidR="00FF556E">
        <w:t>the</w:t>
      </w:r>
      <w:r w:rsidR="00540DDA">
        <w:t xml:space="preserve"> ability to </w:t>
      </w:r>
      <w:r w:rsidR="0083163B">
        <w:t>configure the UE</w:t>
      </w:r>
      <w:r w:rsidR="00A079AD">
        <w:t xml:space="preserve"> for the handover and prepare the target</w:t>
      </w:r>
      <w:r w:rsidR="0083163B">
        <w:t xml:space="preserve"> </w:t>
      </w:r>
      <w:r w:rsidR="00540DDA">
        <w:t xml:space="preserve">before </w:t>
      </w:r>
      <w:r w:rsidR="00552A87">
        <w:t>a</w:t>
      </w:r>
      <w:r w:rsidR="0083163B">
        <w:t xml:space="preserve"> </w:t>
      </w:r>
      <w:r w:rsidR="00540DDA">
        <w:t xml:space="preserve">blocking of the channel. </w:t>
      </w:r>
    </w:p>
    <w:p w14:paraId="14543EEC" w14:textId="347FDC87" w:rsidR="00B775EE" w:rsidRDefault="00B775EE" w:rsidP="00C60FFB">
      <w:pPr>
        <w:jc w:val="both"/>
        <w:rPr>
          <w:b/>
        </w:rPr>
      </w:pPr>
      <w:r w:rsidRPr="00B775EE">
        <w:rPr>
          <w:b/>
        </w:rPr>
        <w:t xml:space="preserve">Observation 1: </w:t>
      </w:r>
      <w:r w:rsidR="00065AE5">
        <w:rPr>
          <w:b/>
        </w:rPr>
        <w:t>Conditional handover</w:t>
      </w:r>
      <w:r w:rsidR="003C6DE2">
        <w:rPr>
          <w:b/>
        </w:rPr>
        <w:t xml:space="preserve"> </w:t>
      </w:r>
      <w:r w:rsidR="00E779F8">
        <w:rPr>
          <w:b/>
        </w:rPr>
        <w:t>is</w:t>
      </w:r>
      <w:r w:rsidR="003C6DE2">
        <w:rPr>
          <w:b/>
        </w:rPr>
        <w:t xml:space="preserve"> a promising technique for </w:t>
      </w:r>
      <w:r w:rsidR="009A11F8">
        <w:rPr>
          <w:b/>
        </w:rPr>
        <w:t xml:space="preserve">improving </w:t>
      </w:r>
      <w:r w:rsidR="00E03E08">
        <w:rPr>
          <w:b/>
        </w:rPr>
        <w:t xml:space="preserve">the </w:t>
      </w:r>
      <w:r w:rsidR="009A11F8">
        <w:rPr>
          <w:b/>
        </w:rPr>
        <w:t>handover robustness</w:t>
      </w:r>
      <w:r w:rsidR="003C6DE2">
        <w:rPr>
          <w:b/>
        </w:rPr>
        <w:t xml:space="preserve"> in both low and high frequency bands.</w:t>
      </w:r>
    </w:p>
    <w:p w14:paraId="7CF3DC39" w14:textId="794DBE64" w:rsidR="00552A87" w:rsidRDefault="00552A87" w:rsidP="00C60FFB">
      <w:pPr>
        <w:jc w:val="both"/>
        <w:rPr>
          <w:b/>
        </w:rPr>
      </w:pPr>
      <w:r>
        <w:t>It is however FFS to which extent such dynamic shadowing events can be compensated by shorter measurement filtering and/or TTT, enabl</w:t>
      </w:r>
      <w:r w:rsidR="007343F0">
        <w:t>e</w:t>
      </w:r>
      <w:r>
        <w:t>d by the shorter channel coherence time in HF bands.</w:t>
      </w:r>
    </w:p>
    <w:p w14:paraId="283BE6BC" w14:textId="7B761AEC" w:rsidR="00EB19C1" w:rsidRDefault="00842DD5" w:rsidP="00C60FFB">
      <w:pPr>
        <w:jc w:val="both"/>
        <w:rPr>
          <w:b/>
        </w:rPr>
      </w:pPr>
      <w:r>
        <w:rPr>
          <w:b/>
        </w:rPr>
        <w:t xml:space="preserve">Observation 2: A realistic UE filtering and TTT (accounting the shorter coherence time) should be applied </w:t>
      </w:r>
      <w:r w:rsidR="00FF556E">
        <w:rPr>
          <w:b/>
        </w:rPr>
        <w:t>when</w:t>
      </w:r>
      <w:r>
        <w:rPr>
          <w:b/>
        </w:rPr>
        <w:t xml:space="preserve"> </w:t>
      </w:r>
      <w:r w:rsidR="00FF556E">
        <w:rPr>
          <w:b/>
        </w:rPr>
        <w:t>evaluating</w:t>
      </w:r>
      <w:r>
        <w:rPr>
          <w:b/>
        </w:rPr>
        <w:t xml:space="preserve"> </w:t>
      </w:r>
      <w:r w:rsidR="009A362C">
        <w:rPr>
          <w:b/>
        </w:rPr>
        <w:t xml:space="preserve">the </w:t>
      </w:r>
      <w:r>
        <w:rPr>
          <w:b/>
        </w:rPr>
        <w:t>CHO in high frequency bands.</w:t>
      </w:r>
    </w:p>
    <w:p w14:paraId="5627C29B" w14:textId="429B7A26" w:rsidR="00AB5AF7" w:rsidRDefault="00FF556E" w:rsidP="00C60FFB">
      <w:pPr>
        <w:jc w:val="both"/>
        <w:rPr>
          <w:lang w:val="en-US"/>
        </w:rPr>
      </w:pPr>
      <w:r>
        <w:rPr>
          <w:lang w:val="en-US"/>
        </w:rPr>
        <w:t xml:space="preserve">The basic procedure </w:t>
      </w:r>
      <w:r w:rsidR="00CB392C">
        <w:rPr>
          <w:lang w:val="en-US"/>
        </w:rPr>
        <w:t>captured</w:t>
      </w:r>
      <w:r>
        <w:rPr>
          <w:lang w:val="en-US"/>
        </w:rPr>
        <w:t xml:space="preserve"> e.g. in</w:t>
      </w:r>
      <w:r w:rsidR="007343F0">
        <w:rPr>
          <w:lang w:val="en-US"/>
        </w:rPr>
        <w:t xml:space="preserve"> </w:t>
      </w:r>
      <w:r w:rsidR="007343F0">
        <w:rPr>
          <w:lang w:val="en-US"/>
        </w:rPr>
        <w:fldChar w:fldCharType="begin"/>
      </w:r>
      <w:r w:rsidR="007343F0">
        <w:rPr>
          <w:lang w:val="en-US"/>
        </w:rPr>
        <w:instrText xml:space="preserve"> REF _Ref485115290 \r \h </w:instrText>
      </w:r>
      <w:r w:rsidR="007343F0">
        <w:rPr>
          <w:lang w:val="en-US"/>
        </w:rPr>
      </w:r>
      <w:r w:rsidR="007343F0">
        <w:rPr>
          <w:lang w:val="en-US"/>
        </w:rPr>
        <w:fldChar w:fldCharType="separate"/>
      </w:r>
      <w:r w:rsidR="007343F0">
        <w:rPr>
          <w:lang w:val="en-US"/>
        </w:rPr>
        <w:t>[2]</w:t>
      </w:r>
      <w:r w:rsidR="007343F0">
        <w:rPr>
          <w:lang w:val="en-US"/>
        </w:rPr>
        <w:fldChar w:fldCharType="end"/>
      </w:r>
      <w:r>
        <w:rPr>
          <w:lang w:val="en-US"/>
        </w:rPr>
        <w:t xml:space="preserve"> seems a reasonable starting point for</w:t>
      </w:r>
      <w:r w:rsidR="005179E0">
        <w:rPr>
          <w:lang w:val="en-US"/>
        </w:rPr>
        <w:t xml:space="preserve"> </w:t>
      </w:r>
      <w:r w:rsidR="00552A87">
        <w:rPr>
          <w:lang w:val="en-US"/>
        </w:rPr>
        <w:t>the more detailed design of</w:t>
      </w:r>
      <w:r w:rsidR="00CB392C">
        <w:rPr>
          <w:lang w:val="en-US"/>
        </w:rPr>
        <w:t xml:space="preserve"> CHO.</w:t>
      </w:r>
      <w:r w:rsidR="00D33418">
        <w:rPr>
          <w:lang w:val="en-US"/>
        </w:rPr>
        <w:t xml:space="preserve"> </w:t>
      </w:r>
      <w:r w:rsidR="006310BD">
        <w:rPr>
          <w:lang w:val="en-US"/>
        </w:rPr>
        <w:t xml:space="preserve">The areas </w:t>
      </w:r>
      <w:r w:rsidR="00552A87">
        <w:rPr>
          <w:lang w:val="en-US"/>
        </w:rPr>
        <w:t>with major open issues</w:t>
      </w:r>
      <w:r w:rsidR="006310BD">
        <w:rPr>
          <w:lang w:val="en-US"/>
        </w:rPr>
        <w:t xml:space="preserve"> include at least the candidate set management, data forwarding and triggering of </w:t>
      </w:r>
      <w:r w:rsidR="00124312">
        <w:rPr>
          <w:lang w:val="en-US"/>
        </w:rPr>
        <w:t>the</w:t>
      </w:r>
      <w:r w:rsidR="006310BD">
        <w:rPr>
          <w:lang w:val="en-US"/>
        </w:rPr>
        <w:t xml:space="preserve"> conditional and </w:t>
      </w:r>
      <w:r w:rsidR="00124312">
        <w:rPr>
          <w:lang w:val="en-US"/>
        </w:rPr>
        <w:t>the final handovers</w:t>
      </w:r>
      <w:r w:rsidR="00E8332D">
        <w:rPr>
          <w:lang w:val="en-US"/>
        </w:rPr>
        <w:t xml:space="preserve">, </w:t>
      </w:r>
      <w:r w:rsidR="00AE718E">
        <w:rPr>
          <w:lang w:val="en-US"/>
        </w:rPr>
        <w:t>a</w:t>
      </w:r>
      <w:r w:rsidR="00E8332D">
        <w:rPr>
          <w:lang w:val="en-US"/>
        </w:rPr>
        <w:t>ccounting possible beam specific aspects</w:t>
      </w:r>
      <w:r w:rsidR="00124312">
        <w:rPr>
          <w:lang w:val="en-US"/>
        </w:rPr>
        <w:t>.</w:t>
      </w:r>
      <w:r w:rsidR="00AB5AF7">
        <w:rPr>
          <w:lang w:val="en-US"/>
        </w:rPr>
        <w:t xml:space="preserve"> </w:t>
      </w:r>
    </w:p>
    <w:p w14:paraId="30DD06FD" w14:textId="4E4F619A" w:rsidR="00124312" w:rsidRDefault="00AB5AF7" w:rsidP="00C60FFB">
      <w:pPr>
        <w:jc w:val="both"/>
        <w:rPr>
          <w:lang w:val="en-US"/>
        </w:rPr>
      </w:pPr>
      <w:r>
        <w:rPr>
          <w:lang w:val="en-US"/>
        </w:rPr>
        <w:t xml:space="preserve">For data forwarding, it </w:t>
      </w:r>
      <w:r w:rsidR="00E8332D">
        <w:rPr>
          <w:lang w:val="en-US"/>
        </w:rPr>
        <w:t>needs to</w:t>
      </w:r>
      <w:r>
        <w:rPr>
          <w:lang w:val="en-US"/>
        </w:rPr>
        <w:t xml:space="preserve"> be considered whether some additional </w:t>
      </w:r>
      <w:r w:rsidR="00E8332D">
        <w:rPr>
          <w:lang w:val="en-US"/>
        </w:rPr>
        <w:t>functions</w:t>
      </w:r>
      <w:r>
        <w:rPr>
          <w:lang w:val="en-US"/>
        </w:rPr>
        <w:t xml:space="preserve"> would be </w:t>
      </w:r>
      <w:r w:rsidR="00E8332D">
        <w:rPr>
          <w:lang w:val="en-US"/>
        </w:rPr>
        <w:t>ne</w:t>
      </w:r>
      <w:r w:rsidR="00C76C00">
        <w:rPr>
          <w:lang w:val="en-US"/>
        </w:rPr>
        <w:t>cessary</w:t>
      </w:r>
      <w:r w:rsidR="00E8332D">
        <w:rPr>
          <w:lang w:val="en-US"/>
        </w:rPr>
        <w:t xml:space="preserve"> in order to allow</w:t>
      </w:r>
      <w:r>
        <w:rPr>
          <w:lang w:val="en-US"/>
        </w:rPr>
        <w:t xml:space="preserve"> the source cell to start forwarding data to </w:t>
      </w:r>
      <w:r w:rsidR="00E8332D">
        <w:rPr>
          <w:lang w:val="en-US"/>
        </w:rPr>
        <w:t xml:space="preserve">the </w:t>
      </w:r>
      <w:r>
        <w:rPr>
          <w:lang w:val="en-US"/>
        </w:rPr>
        <w:t>target cell</w:t>
      </w:r>
      <w:r w:rsidR="00E8332D">
        <w:rPr>
          <w:lang w:val="en-US"/>
        </w:rPr>
        <w:t>,</w:t>
      </w:r>
      <w:r>
        <w:rPr>
          <w:lang w:val="en-US"/>
        </w:rPr>
        <w:t xml:space="preserve"> without waiting for the target</w:t>
      </w:r>
      <w:r w:rsidR="00E8332D">
        <w:rPr>
          <w:lang w:val="en-US"/>
        </w:rPr>
        <w:t xml:space="preserve"> cell</w:t>
      </w:r>
      <w:r>
        <w:rPr>
          <w:lang w:val="en-US"/>
        </w:rPr>
        <w:t xml:space="preserve"> to contact </w:t>
      </w:r>
      <w:r w:rsidR="00C76C00">
        <w:rPr>
          <w:lang w:val="en-US"/>
        </w:rPr>
        <w:t xml:space="preserve">the </w:t>
      </w:r>
      <w:r>
        <w:rPr>
          <w:lang w:val="en-US"/>
        </w:rPr>
        <w:t xml:space="preserve">source cell after </w:t>
      </w:r>
      <w:r w:rsidR="00C76C00">
        <w:rPr>
          <w:lang w:val="en-US"/>
        </w:rPr>
        <w:t xml:space="preserve">UE </w:t>
      </w:r>
      <w:r>
        <w:rPr>
          <w:lang w:val="en-US"/>
        </w:rPr>
        <w:t>access</w:t>
      </w:r>
      <w:r w:rsidR="00C76C00">
        <w:rPr>
          <w:lang w:val="en-US"/>
        </w:rPr>
        <w:t>es</w:t>
      </w:r>
      <w:r>
        <w:rPr>
          <w:lang w:val="en-US"/>
        </w:rPr>
        <w:t xml:space="preserve"> t</w:t>
      </w:r>
      <w:r w:rsidR="00C76C00">
        <w:rPr>
          <w:lang w:val="en-US"/>
        </w:rPr>
        <w:t>he</w:t>
      </w:r>
      <w:r>
        <w:rPr>
          <w:lang w:val="en-US"/>
        </w:rPr>
        <w:t xml:space="preserve"> target, hence reducing</w:t>
      </w:r>
      <w:r w:rsidR="00D954D8">
        <w:rPr>
          <w:lang w:val="en-US"/>
        </w:rPr>
        <w:t xml:space="preserve"> the</w:t>
      </w:r>
      <w:r>
        <w:rPr>
          <w:lang w:val="en-US"/>
        </w:rPr>
        <w:t xml:space="preserve"> </w:t>
      </w:r>
      <w:r w:rsidR="00AE718E">
        <w:rPr>
          <w:lang w:val="en-US"/>
        </w:rPr>
        <w:t xml:space="preserve">user </w:t>
      </w:r>
      <w:r w:rsidR="00E8332D">
        <w:rPr>
          <w:lang w:val="en-US"/>
        </w:rPr>
        <w:t>plane interruption</w:t>
      </w:r>
      <w:r>
        <w:rPr>
          <w:lang w:val="en-US"/>
        </w:rPr>
        <w:t>.</w:t>
      </w:r>
    </w:p>
    <w:p w14:paraId="1F114F48" w14:textId="01AB50A7" w:rsidR="00EB26C3" w:rsidRDefault="00EB26C3" w:rsidP="00C60FFB">
      <w:pPr>
        <w:jc w:val="both"/>
        <w:rPr>
          <w:lang w:val="en-US"/>
        </w:rPr>
      </w:pPr>
      <w:r>
        <w:rPr>
          <w:b/>
        </w:rPr>
        <w:t xml:space="preserve">Observation 3: The </w:t>
      </w:r>
      <w:r w:rsidR="00C76C00">
        <w:rPr>
          <w:b/>
        </w:rPr>
        <w:t>“</w:t>
      </w:r>
      <w:r>
        <w:rPr>
          <w:b/>
        </w:rPr>
        <w:t>baseline CHO</w:t>
      </w:r>
      <w:r w:rsidR="00C76C00">
        <w:rPr>
          <w:b/>
        </w:rPr>
        <w:t>”</w:t>
      </w:r>
      <w:r>
        <w:rPr>
          <w:b/>
        </w:rPr>
        <w:t xml:space="preserve"> might not meet the </w:t>
      </w:r>
      <w:r w:rsidR="00A40F64">
        <w:rPr>
          <w:b/>
        </w:rPr>
        <w:t xml:space="preserve">user plane interruption </w:t>
      </w:r>
      <w:r>
        <w:rPr>
          <w:b/>
        </w:rPr>
        <w:t xml:space="preserve">requirements of NR. </w:t>
      </w:r>
    </w:p>
    <w:p w14:paraId="6F7F3DB6" w14:textId="2441BE02" w:rsidR="00AB5AF7" w:rsidRDefault="00A607BE" w:rsidP="00C60FFB">
      <w:pPr>
        <w:jc w:val="both"/>
        <w:rPr>
          <w:lang w:val="en-US"/>
        </w:rPr>
      </w:pPr>
      <w:r>
        <w:rPr>
          <w:lang w:val="en-US"/>
        </w:rPr>
        <w:t>T</w:t>
      </w:r>
      <w:r w:rsidR="00E738AB">
        <w:rPr>
          <w:lang w:val="en-US"/>
        </w:rPr>
        <w:t xml:space="preserve">he </w:t>
      </w:r>
      <w:r>
        <w:rPr>
          <w:lang w:val="en-US"/>
        </w:rPr>
        <w:t>impact from</w:t>
      </w:r>
      <w:r w:rsidR="00E738AB">
        <w:rPr>
          <w:lang w:val="en-US"/>
        </w:rPr>
        <w:t xml:space="preserve"> preparing multiple candidate cells </w:t>
      </w:r>
      <w:r>
        <w:rPr>
          <w:lang w:val="en-US"/>
        </w:rPr>
        <w:t xml:space="preserve">for CHO </w:t>
      </w:r>
      <w:r w:rsidR="00E738AB">
        <w:rPr>
          <w:lang w:val="en-US"/>
        </w:rPr>
        <w:t xml:space="preserve">should be carefully </w:t>
      </w:r>
      <w:r>
        <w:rPr>
          <w:lang w:val="en-US"/>
        </w:rPr>
        <w:t xml:space="preserve">balanced </w:t>
      </w:r>
      <w:r w:rsidR="00E738AB">
        <w:rPr>
          <w:lang w:val="en-US"/>
        </w:rPr>
        <w:t xml:space="preserve">in </w:t>
      </w:r>
      <w:r>
        <w:rPr>
          <w:lang w:val="en-US"/>
        </w:rPr>
        <w:t xml:space="preserve">the dimensions of </w:t>
      </w:r>
      <w:r w:rsidR="00E738AB">
        <w:rPr>
          <w:lang w:val="en-US"/>
        </w:rPr>
        <w:t>network sign</w:t>
      </w:r>
      <w:r>
        <w:rPr>
          <w:lang w:val="en-US"/>
        </w:rPr>
        <w:t>aling load, handover robustness, and specification effort. It is obvious that more prepared neighbor cells would positively contribute to handover robustness (at least to certain point), however at the same time increasing the network signaling load, and possibly also the specification effort due to more complex management of the candidate cells.</w:t>
      </w:r>
      <w:r w:rsidR="00C222B6">
        <w:rPr>
          <w:lang w:val="en-US"/>
        </w:rPr>
        <w:t xml:space="preserve"> For the </w:t>
      </w:r>
      <w:r w:rsidR="00C222B6">
        <w:rPr>
          <w:lang w:val="en-US"/>
        </w:rPr>
        <w:lastRenderedPageBreak/>
        <w:t xml:space="preserve">latter point, it seems rather unlikely, given the current workload of RAN2, that a CHO with </w:t>
      </w:r>
      <w:r w:rsidR="003E41C6">
        <w:rPr>
          <w:lang w:val="en-US"/>
        </w:rPr>
        <w:t xml:space="preserve">a </w:t>
      </w:r>
      <w:r w:rsidR="00C222B6">
        <w:rPr>
          <w:lang w:val="en-US"/>
        </w:rPr>
        <w:t xml:space="preserve">full feature set could be finished in </w:t>
      </w:r>
      <w:r w:rsidR="001B5B80">
        <w:rPr>
          <w:lang w:val="en-US"/>
        </w:rPr>
        <w:t xml:space="preserve">the </w:t>
      </w:r>
      <w:r w:rsidR="00C222B6">
        <w:rPr>
          <w:lang w:val="en-US"/>
        </w:rPr>
        <w:t>Rel-15 timeline.</w:t>
      </w:r>
    </w:p>
    <w:p w14:paraId="01982BA8" w14:textId="7044D0CB" w:rsidR="00A607BE" w:rsidRDefault="00A948E7" w:rsidP="00C60FFB">
      <w:pPr>
        <w:jc w:val="both"/>
        <w:rPr>
          <w:lang w:val="en-US"/>
        </w:rPr>
      </w:pPr>
      <w:r>
        <w:rPr>
          <w:lang w:val="en-US"/>
        </w:rPr>
        <w:t xml:space="preserve">One possible solution for balancing these conflicting requirements </w:t>
      </w:r>
      <w:r w:rsidR="00A44600">
        <w:rPr>
          <w:lang w:val="en-US"/>
        </w:rPr>
        <w:t>could</w:t>
      </w:r>
      <w:r w:rsidR="00C222B6">
        <w:rPr>
          <w:lang w:val="en-US"/>
        </w:rPr>
        <w:t xml:space="preserve"> be </w:t>
      </w:r>
      <w:r w:rsidR="003E41C6">
        <w:rPr>
          <w:lang w:val="en-US"/>
        </w:rPr>
        <w:t xml:space="preserve">to </w:t>
      </w:r>
      <w:r w:rsidR="003C4AFF">
        <w:rPr>
          <w:lang w:val="en-US"/>
        </w:rPr>
        <w:t>specify CHO in two phases, consisting of:</w:t>
      </w:r>
    </w:p>
    <w:p w14:paraId="284B1F68" w14:textId="09231412" w:rsidR="003E4D4F" w:rsidRDefault="001B5B80" w:rsidP="001B5B80">
      <w:pPr>
        <w:pStyle w:val="ListParagraph"/>
        <w:numPr>
          <w:ilvl w:val="0"/>
          <w:numId w:val="17"/>
        </w:numPr>
        <w:jc w:val="both"/>
        <w:rPr>
          <w:lang w:val="en-US"/>
        </w:rPr>
      </w:pPr>
      <w:r w:rsidRPr="00953B54">
        <w:rPr>
          <w:i/>
          <w:lang w:val="en-US"/>
        </w:rPr>
        <w:t>Phase 1</w:t>
      </w:r>
      <w:r>
        <w:rPr>
          <w:lang w:val="en-US"/>
        </w:rPr>
        <w:t xml:space="preserve">: CHO </w:t>
      </w:r>
      <w:r w:rsidR="003E4D4F">
        <w:rPr>
          <w:lang w:val="en-US"/>
        </w:rPr>
        <w:t>with minimum functionality</w:t>
      </w:r>
      <w:r w:rsidR="00C76C00">
        <w:rPr>
          <w:lang w:val="en-US"/>
        </w:rPr>
        <w:t>/configuration flexibility</w:t>
      </w:r>
      <w:r w:rsidR="003E4D4F">
        <w:rPr>
          <w:lang w:val="en-US"/>
        </w:rPr>
        <w:t xml:space="preserve">, e.g. no support for preparing multiple candidate cells, no </w:t>
      </w:r>
      <w:r w:rsidR="007C394F">
        <w:rPr>
          <w:lang w:val="en-US"/>
        </w:rPr>
        <w:t xml:space="preserve">standardized </w:t>
      </w:r>
      <w:r w:rsidR="003E4D4F">
        <w:rPr>
          <w:lang w:val="en-US"/>
        </w:rPr>
        <w:t>data forwa</w:t>
      </w:r>
      <w:r w:rsidR="00C76C00">
        <w:rPr>
          <w:lang w:val="en-US"/>
        </w:rPr>
        <w:t>r</w:t>
      </w:r>
      <w:r w:rsidR="003E4D4F">
        <w:rPr>
          <w:lang w:val="en-US"/>
        </w:rPr>
        <w:t xml:space="preserve">ding enhancements, and reusing the triggers of NWHO. </w:t>
      </w:r>
      <w:r w:rsidR="002B73B6">
        <w:rPr>
          <w:lang w:val="en-US"/>
        </w:rPr>
        <w:t>S</w:t>
      </w:r>
      <w:r w:rsidR="003E4D4F">
        <w:rPr>
          <w:lang w:val="en-US"/>
        </w:rPr>
        <w:t>uch</w:t>
      </w:r>
      <w:r w:rsidR="002B73B6">
        <w:rPr>
          <w:lang w:val="en-US"/>
        </w:rPr>
        <w:t xml:space="preserve"> subset of a </w:t>
      </w:r>
      <w:r w:rsidR="00C76C00">
        <w:rPr>
          <w:lang w:val="en-US"/>
        </w:rPr>
        <w:t>“</w:t>
      </w:r>
      <w:r w:rsidR="002B73B6">
        <w:rPr>
          <w:lang w:val="en-US"/>
        </w:rPr>
        <w:t>full</w:t>
      </w:r>
      <w:r w:rsidR="003E4D4F">
        <w:rPr>
          <w:lang w:val="en-US"/>
        </w:rPr>
        <w:t xml:space="preserve"> CHO</w:t>
      </w:r>
      <w:r w:rsidR="00C76C00">
        <w:rPr>
          <w:lang w:val="en-US"/>
        </w:rPr>
        <w:t>”</w:t>
      </w:r>
      <w:r w:rsidR="003E4D4F">
        <w:rPr>
          <w:lang w:val="en-US"/>
        </w:rPr>
        <w:t xml:space="preserve"> </w:t>
      </w:r>
      <w:r w:rsidR="002B73B6">
        <w:rPr>
          <w:lang w:val="en-US"/>
        </w:rPr>
        <w:t>might be still able to provide a reasonable</w:t>
      </w:r>
      <w:r w:rsidR="007C394F">
        <w:rPr>
          <w:lang w:val="en-US"/>
        </w:rPr>
        <w:t xml:space="preserve"> </w:t>
      </w:r>
      <w:r w:rsidR="003E4D4F">
        <w:rPr>
          <w:lang w:val="en-US"/>
        </w:rPr>
        <w:t>robustness gain compared to NWHO baseline</w:t>
      </w:r>
      <w:r w:rsidR="00E8332D">
        <w:rPr>
          <w:lang w:val="en-US"/>
        </w:rPr>
        <w:t>. This would need to be verified by simulations</w:t>
      </w:r>
      <w:r w:rsidR="003E4D4F">
        <w:rPr>
          <w:lang w:val="en-US"/>
        </w:rPr>
        <w:t xml:space="preserve">. </w:t>
      </w:r>
      <w:r w:rsidR="00E8332D">
        <w:rPr>
          <w:lang w:val="en-US"/>
        </w:rPr>
        <w:t>Furthermore, t</w:t>
      </w:r>
      <w:r w:rsidR="003E4D4F">
        <w:rPr>
          <w:lang w:val="en-US"/>
        </w:rPr>
        <w:t xml:space="preserve">he design should be </w:t>
      </w:r>
      <w:r w:rsidR="00B26588">
        <w:rPr>
          <w:lang w:val="en-US"/>
        </w:rPr>
        <w:t xml:space="preserve">forward </w:t>
      </w:r>
      <w:r w:rsidR="003E4D4F">
        <w:rPr>
          <w:lang w:val="en-US"/>
        </w:rPr>
        <w:t>compatible towards the extensions</w:t>
      </w:r>
      <w:r w:rsidR="00B26588">
        <w:rPr>
          <w:lang w:val="en-US"/>
        </w:rPr>
        <w:t xml:space="preserve"> of Phase 2</w:t>
      </w:r>
      <w:r w:rsidR="003E4D4F">
        <w:rPr>
          <w:lang w:val="en-US"/>
        </w:rPr>
        <w:t>.</w:t>
      </w:r>
    </w:p>
    <w:p w14:paraId="5CE77649" w14:textId="77777777" w:rsidR="00E8332D" w:rsidRDefault="00E8332D" w:rsidP="00E8332D">
      <w:pPr>
        <w:pStyle w:val="ListParagraph"/>
        <w:jc w:val="both"/>
        <w:rPr>
          <w:lang w:val="en-US"/>
        </w:rPr>
      </w:pPr>
    </w:p>
    <w:p w14:paraId="3CF08E44" w14:textId="70E2FC26" w:rsidR="003C4AFF" w:rsidRDefault="003E4D4F" w:rsidP="001B5B80">
      <w:pPr>
        <w:pStyle w:val="ListParagraph"/>
        <w:numPr>
          <w:ilvl w:val="0"/>
          <w:numId w:val="17"/>
        </w:numPr>
        <w:jc w:val="both"/>
        <w:rPr>
          <w:lang w:val="en-US"/>
        </w:rPr>
      </w:pPr>
      <w:r w:rsidRPr="00953B54">
        <w:rPr>
          <w:i/>
          <w:lang w:val="en-US"/>
        </w:rPr>
        <w:t>Phase 2:</w:t>
      </w:r>
      <w:r>
        <w:rPr>
          <w:lang w:val="en-US"/>
        </w:rPr>
        <w:t xml:space="preserve"> CHO with a full feature set, e.g. full candidate set management (add, </w:t>
      </w:r>
      <w:r w:rsidR="007C394F">
        <w:rPr>
          <w:lang w:val="en-US"/>
        </w:rPr>
        <w:t>remove, modify) functionality, support of earlier data forwarding, new triggering functions (e.g. related to beam operation), and possibly other enhancements</w:t>
      </w:r>
      <w:r w:rsidR="000E212C">
        <w:rPr>
          <w:lang w:val="en-US"/>
        </w:rPr>
        <w:t xml:space="preserve"> (provided that this creates meaningful additional benefits)</w:t>
      </w:r>
      <w:r w:rsidR="007C394F">
        <w:rPr>
          <w:lang w:val="en-US"/>
        </w:rPr>
        <w:t>.</w:t>
      </w:r>
    </w:p>
    <w:p w14:paraId="0F88E6ED" w14:textId="59192754" w:rsidR="007C394F" w:rsidRPr="007C394F" w:rsidRDefault="007C394F" w:rsidP="007C394F">
      <w:pPr>
        <w:jc w:val="both"/>
        <w:rPr>
          <w:b/>
          <w:lang w:val="en-US"/>
        </w:rPr>
      </w:pPr>
      <w:r w:rsidRPr="007C394F">
        <w:rPr>
          <w:b/>
          <w:lang w:val="en-US"/>
        </w:rPr>
        <w:t xml:space="preserve">Proposal 1: </w:t>
      </w:r>
      <w:r w:rsidR="00AF319A">
        <w:rPr>
          <w:b/>
          <w:lang w:val="en-US"/>
        </w:rPr>
        <w:t xml:space="preserve">RAN2 </w:t>
      </w:r>
      <w:r w:rsidR="008D7DFC">
        <w:rPr>
          <w:b/>
          <w:lang w:val="en-US"/>
        </w:rPr>
        <w:t>should</w:t>
      </w:r>
      <w:r w:rsidR="00AF319A">
        <w:rPr>
          <w:b/>
          <w:lang w:val="en-US"/>
        </w:rPr>
        <w:t xml:space="preserve"> consider specifying the CHO in two phases</w:t>
      </w:r>
    </w:p>
    <w:p w14:paraId="6ABE5363" w14:textId="3709CDC6" w:rsidR="00842DD5" w:rsidRDefault="00AF319A" w:rsidP="00C60FFB">
      <w:pPr>
        <w:jc w:val="both"/>
        <w:rPr>
          <w:lang w:val="en-US"/>
        </w:rPr>
      </w:pPr>
      <w:r>
        <w:rPr>
          <w:lang w:val="en-US"/>
        </w:rPr>
        <w:t>Regardless of whether CHO is specified in one or two phases, it needs to be ensured that the network has full control o</w:t>
      </w:r>
      <w:r w:rsidR="00C76C00">
        <w:rPr>
          <w:lang w:val="en-US"/>
        </w:rPr>
        <w:t>ver</w:t>
      </w:r>
      <w:r>
        <w:rPr>
          <w:lang w:val="en-US"/>
        </w:rPr>
        <w:t xml:space="preserve"> the number of prepared </w:t>
      </w:r>
      <w:r w:rsidR="002466F3">
        <w:rPr>
          <w:lang w:val="en-US"/>
        </w:rPr>
        <w:t>target cells</w:t>
      </w:r>
      <w:r>
        <w:rPr>
          <w:lang w:val="en-US"/>
        </w:rPr>
        <w:t xml:space="preserve">, including the </w:t>
      </w:r>
      <w:r w:rsidR="002466F3">
        <w:rPr>
          <w:lang w:val="en-US"/>
        </w:rPr>
        <w:t>special</w:t>
      </w:r>
      <w:r>
        <w:rPr>
          <w:lang w:val="en-US"/>
        </w:rPr>
        <w:t xml:space="preserve"> case of </w:t>
      </w:r>
      <w:r w:rsidR="00C76C00">
        <w:rPr>
          <w:lang w:val="en-US"/>
        </w:rPr>
        <w:t>a single</w:t>
      </w:r>
      <w:r>
        <w:rPr>
          <w:lang w:val="en-US"/>
        </w:rPr>
        <w:t xml:space="preserve"> prepared </w:t>
      </w:r>
      <w:r w:rsidR="002466F3">
        <w:rPr>
          <w:lang w:val="en-US"/>
        </w:rPr>
        <w:t>cell</w:t>
      </w:r>
      <w:r>
        <w:rPr>
          <w:lang w:val="en-US"/>
        </w:rPr>
        <w:t>.</w:t>
      </w:r>
    </w:p>
    <w:p w14:paraId="2708752D" w14:textId="4D4FFB1E" w:rsidR="00AF319A" w:rsidRPr="001A4032" w:rsidRDefault="00015285" w:rsidP="00C60FFB">
      <w:pPr>
        <w:jc w:val="both"/>
        <w:rPr>
          <w:b/>
          <w:lang w:val="en-US"/>
        </w:rPr>
      </w:pPr>
      <w:r>
        <w:rPr>
          <w:b/>
          <w:lang w:val="en-US"/>
        </w:rPr>
        <w:t>Observation 4</w:t>
      </w:r>
      <w:r w:rsidR="00AF319A" w:rsidRPr="001A4032">
        <w:rPr>
          <w:b/>
          <w:lang w:val="en-US"/>
        </w:rPr>
        <w:t xml:space="preserve">: </w:t>
      </w:r>
      <w:r w:rsidR="00953B54" w:rsidRPr="001A4032">
        <w:rPr>
          <w:b/>
        </w:rPr>
        <w:t xml:space="preserve">The </w:t>
      </w:r>
      <w:r w:rsidR="002519F3">
        <w:rPr>
          <w:b/>
        </w:rPr>
        <w:t>network</w:t>
      </w:r>
      <w:r w:rsidR="002519F3" w:rsidRPr="00CC2586">
        <w:rPr>
          <w:b/>
        </w:rPr>
        <w:t xml:space="preserve"> </w:t>
      </w:r>
      <w:r w:rsidRPr="00471897">
        <w:rPr>
          <w:b/>
        </w:rPr>
        <w:t>can decide on the prepared target cells and the number of them</w:t>
      </w:r>
    </w:p>
    <w:p w14:paraId="3E19E767" w14:textId="61771572" w:rsidR="003C6DE2" w:rsidRDefault="002519F3" w:rsidP="00C60FFB">
      <w:pPr>
        <w:jc w:val="both"/>
        <w:rPr>
          <w:lang w:val="en-US"/>
        </w:rPr>
      </w:pPr>
      <w:r>
        <w:rPr>
          <w:lang w:val="en-US"/>
        </w:rPr>
        <w:t xml:space="preserve">One specific issue </w:t>
      </w:r>
      <w:r w:rsidR="000B039A">
        <w:rPr>
          <w:lang w:val="en-US"/>
        </w:rPr>
        <w:t>of</w:t>
      </w:r>
      <w:r>
        <w:rPr>
          <w:lang w:val="en-US"/>
        </w:rPr>
        <w:t xml:space="preserve"> CHO</w:t>
      </w:r>
      <w:r w:rsidR="000B039A">
        <w:rPr>
          <w:lang w:val="en-US"/>
        </w:rPr>
        <w:t xml:space="preserve"> is </w:t>
      </w:r>
      <w:r w:rsidR="00FB3D74">
        <w:rPr>
          <w:lang w:val="en-US"/>
        </w:rPr>
        <w:t>its</w:t>
      </w:r>
      <w:r w:rsidR="000B039A">
        <w:rPr>
          <w:lang w:val="en-US"/>
        </w:rPr>
        <w:t xml:space="preserve"> relation to other handover mechanisms of NR, in particular </w:t>
      </w:r>
      <w:r w:rsidR="006F3BF2">
        <w:rPr>
          <w:lang w:val="en-US"/>
        </w:rPr>
        <w:t xml:space="preserve">w.r.t </w:t>
      </w:r>
      <w:r w:rsidR="000B039A">
        <w:rPr>
          <w:lang w:val="en-US"/>
        </w:rPr>
        <w:t>the baseline NWHO</w:t>
      </w:r>
      <w:r w:rsidR="006F3BF2">
        <w:rPr>
          <w:lang w:val="en-US"/>
        </w:rPr>
        <w:t>,</w:t>
      </w:r>
      <w:r w:rsidR="000B039A">
        <w:rPr>
          <w:lang w:val="en-US"/>
        </w:rPr>
        <w:t xml:space="preserve"> and </w:t>
      </w:r>
      <w:r w:rsidR="00C76C00">
        <w:rPr>
          <w:lang w:val="en-US"/>
        </w:rPr>
        <w:t xml:space="preserve">potential </w:t>
      </w:r>
      <w:r w:rsidR="000B039A">
        <w:rPr>
          <w:lang w:val="en-US"/>
        </w:rPr>
        <w:t>variations of make</w:t>
      </w:r>
      <w:r w:rsidR="00C76C00">
        <w:rPr>
          <w:lang w:val="en-US"/>
        </w:rPr>
        <w:t>-</w:t>
      </w:r>
      <w:r w:rsidR="000B039A">
        <w:rPr>
          <w:lang w:val="en-US"/>
        </w:rPr>
        <w:t>before</w:t>
      </w:r>
      <w:r w:rsidR="00C76C00">
        <w:rPr>
          <w:lang w:val="en-US"/>
        </w:rPr>
        <w:t>-</w:t>
      </w:r>
      <w:r w:rsidR="000B039A">
        <w:rPr>
          <w:lang w:val="en-US"/>
        </w:rPr>
        <w:t>break</w:t>
      </w:r>
      <w:r w:rsidR="00C76C00">
        <w:rPr>
          <w:lang w:val="en-US"/>
        </w:rPr>
        <w:t xml:space="preserve"> (MBB)</w:t>
      </w:r>
      <w:r w:rsidR="000B039A">
        <w:rPr>
          <w:lang w:val="en-US"/>
        </w:rPr>
        <w:t xml:space="preserve"> handover</w:t>
      </w:r>
      <w:r w:rsidR="0068518B">
        <w:rPr>
          <w:lang w:val="en-US"/>
        </w:rPr>
        <w:t>.</w:t>
      </w:r>
      <w:r w:rsidR="00B44320">
        <w:rPr>
          <w:lang w:val="en-US"/>
        </w:rPr>
        <w:t xml:space="preserve"> A key question there is whether NWHO and CHO should be allowed to run in parallel, accounting possible complications in UE/NW sides, and impacts on the handover performance. </w:t>
      </w:r>
      <w:r w:rsidR="00C76C00">
        <w:rPr>
          <w:lang w:val="en-US"/>
        </w:rPr>
        <w:t>Furthermore,</w:t>
      </w:r>
      <w:r w:rsidR="00B44320">
        <w:rPr>
          <w:lang w:val="en-US"/>
        </w:rPr>
        <w:t xml:space="preserve"> if </w:t>
      </w:r>
      <w:r w:rsidR="005147B3">
        <w:rPr>
          <w:lang w:val="en-US"/>
        </w:rPr>
        <w:t>the parallel operation</w:t>
      </w:r>
      <w:r w:rsidR="00B44320">
        <w:rPr>
          <w:lang w:val="en-US"/>
        </w:rPr>
        <w:t xml:space="preserve"> is not allowed</w:t>
      </w:r>
      <w:r w:rsidR="005147B3">
        <w:rPr>
          <w:lang w:val="en-US"/>
        </w:rPr>
        <w:t xml:space="preserve"> (or unfeasible)</w:t>
      </w:r>
      <w:r w:rsidR="00B44320">
        <w:rPr>
          <w:lang w:val="en-US"/>
        </w:rPr>
        <w:t>,</w:t>
      </w:r>
      <w:r w:rsidR="005147B3">
        <w:rPr>
          <w:lang w:val="en-US"/>
        </w:rPr>
        <w:t xml:space="preserve"> how would the network choose the right operating mode. The interactions with MBB could be considered later</w:t>
      </w:r>
      <w:r w:rsidR="001744BA">
        <w:rPr>
          <w:lang w:val="en-US"/>
        </w:rPr>
        <w:t>,</w:t>
      </w:r>
      <w:r w:rsidR="005147B3">
        <w:rPr>
          <w:lang w:val="en-US"/>
        </w:rPr>
        <w:t xml:space="preserve"> after the concepts become more mature.</w:t>
      </w:r>
    </w:p>
    <w:p w14:paraId="48363B37" w14:textId="307E9B58" w:rsidR="005147B3" w:rsidRPr="005147B3" w:rsidRDefault="005147B3" w:rsidP="00C60FFB">
      <w:pPr>
        <w:jc w:val="both"/>
        <w:rPr>
          <w:b/>
          <w:lang w:val="en-US"/>
        </w:rPr>
      </w:pPr>
      <w:r w:rsidRPr="005147B3">
        <w:rPr>
          <w:b/>
          <w:lang w:val="en-US"/>
        </w:rPr>
        <w:t xml:space="preserve">Observation </w:t>
      </w:r>
      <w:r w:rsidR="00015285">
        <w:rPr>
          <w:b/>
          <w:lang w:val="en-US"/>
        </w:rPr>
        <w:t>5</w:t>
      </w:r>
      <w:r w:rsidRPr="005147B3">
        <w:rPr>
          <w:b/>
          <w:lang w:val="en-US"/>
        </w:rPr>
        <w:t xml:space="preserve">: </w:t>
      </w:r>
      <w:r>
        <w:rPr>
          <w:b/>
          <w:lang w:val="en-US"/>
        </w:rPr>
        <w:t>The interactions with other handover mechanisms should be accounted in the design of CHO</w:t>
      </w:r>
    </w:p>
    <w:p w14:paraId="08216AB3" w14:textId="77777777" w:rsidR="00F23DCC" w:rsidRPr="007343F0" w:rsidRDefault="00F23DCC" w:rsidP="00F23DCC">
      <w:pPr>
        <w:pStyle w:val="Heading1"/>
        <w:rPr>
          <w:lang w:val="en-US"/>
        </w:rPr>
      </w:pPr>
      <w:r w:rsidRPr="007343F0">
        <w:rPr>
          <w:lang w:val="en-US"/>
        </w:rPr>
        <w:t>3</w:t>
      </w:r>
      <w:r w:rsidRPr="007343F0">
        <w:rPr>
          <w:lang w:val="en-US"/>
        </w:rPr>
        <w:tab/>
        <w:t>Conclusion</w:t>
      </w:r>
    </w:p>
    <w:p w14:paraId="3388EC26" w14:textId="21A96794" w:rsidR="00807487" w:rsidRDefault="00D968A7" w:rsidP="00D968A7">
      <w:r>
        <w:t>In this contribution</w:t>
      </w:r>
      <w:r w:rsidR="00491DB5">
        <w:t>,</w:t>
      </w:r>
      <w:r>
        <w:t xml:space="preserve"> we provide our initial view</w:t>
      </w:r>
      <w:r w:rsidR="00303ED7">
        <w:t>s</w:t>
      </w:r>
      <w:r>
        <w:t xml:space="preserve"> on the conditional handover, </w:t>
      </w:r>
      <w:r w:rsidR="00303ED7">
        <w:t>concluding that:</w:t>
      </w:r>
    </w:p>
    <w:p w14:paraId="3683D0FA" w14:textId="77B4796D" w:rsidR="00491DB5" w:rsidRDefault="00303ED7" w:rsidP="00491DB5">
      <w:pPr>
        <w:pStyle w:val="ListParagraph"/>
        <w:numPr>
          <w:ilvl w:val="0"/>
          <w:numId w:val="18"/>
        </w:numPr>
      </w:pPr>
      <w:r>
        <w:t>CHO is a promising techni</w:t>
      </w:r>
      <w:r w:rsidR="00491DB5">
        <w:t>que for improving the handover robustness of NR in both low and high frequency bands</w:t>
      </w:r>
    </w:p>
    <w:p w14:paraId="61A33FB5" w14:textId="7F9D2009" w:rsidR="00491DB5" w:rsidRDefault="00491DB5" w:rsidP="00491DB5">
      <w:pPr>
        <w:pStyle w:val="ListParagraph"/>
        <w:numPr>
          <w:ilvl w:val="0"/>
          <w:numId w:val="18"/>
        </w:numPr>
      </w:pPr>
      <w:r>
        <w:t>CHO should be seen as an optimization of the baseline network controlled handover</w:t>
      </w:r>
    </w:p>
    <w:p w14:paraId="26DB5E10" w14:textId="35539225" w:rsidR="00C76C00" w:rsidRDefault="00491DB5" w:rsidP="00C76C00">
      <w:pPr>
        <w:pStyle w:val="ListParagraph"/>
        <w:numPr>
          <w:ilvl w:val="0"/>
          <w:numId w:val="18"/>
        </w:numPr>
      </w:pPr>
      <w:r>
        <w:t>CHO ca</w:t>
      </w:r>
      <w:r w:rsidR="00D44F98">
        <w:t xml:space="preserve">n be specified in Rel-15/16 by </w:t>
      </w:r>
      <w:r w:rsidR="008D7DFC">
        <w:t>a two-</w:t>
      </w:r>
      <w:r w:rsidR="00D44F98">
        <w:t xml:space="preserve">step approach, or alternatively the whole feature can be </w:t>
      </w:r>
      <w:r w:rsidR="008D64F8">
        <w:t>specified in</w:t>
      </w:r>
      <w:r w:rsidR="00D44F98">
        <w:t xml:space="preserve"> Rel-16</w:t>
      </w:r>
      <w:r w:rsidR="008D64F8">
        <w:t xml:space="preserve"> timeframe</w:t>
      </w:r>
    </w:p>
    <w:p w14:paraId="400F4457" w14:textId="471423FE" w:rsidR="00C76C00" w:rsidRPr="00471897" w:rsidRDefault="00C76C00" w:rsidP="00D968A7">
      <w:r w:rsidRPr="00471897">
        <w:t>As a result, the following proposal</w:t>
      </w:r>
      <w:r w:rsidR="00471897">
        <w:t>s and observations</w:t>
      </w:r>
      <w:r w:rsidRPr="00471897">
        <w:t xml:space="preserve"> </w:t>
      </w:r>
      <w:r w:rsidR="00471897">
        <w:t>have</w:t>
      </w:r>
      <w:r w:rsidRPr="00471897">
        <w:t xml:space="preserve"> been made:</w:t>
      </w:r>
    </w:p>
    <w:p w14:paraId="027E655F" w14:textId="59648EDC" w:rsidR="00D968A7" w:rsidRDefault="00D968A7" w:rsidP="00D968A7">
      <w:pPr>
        <w:rPr>
          <w:b/>
        </w:rPr>
      </w:pPr>
      <w:r w:rsidRPr="00D968A7">
        <w:rPr>
          <w:b/>
        </w:rPr>
        <w:t xml:space="preserve">Proposal 1: RAN2 </w:t>
      </w:r>
      <w:r w:rsidR="008D7DFC">
        <w:rPr>
          <w:b/>
        </w:rPr>
        <w:t>should</w:t>
      </w:r>
      <w:r w:rsidRPr="00D968A7">
        <w:rPr>
          <w:b/>
        </w:rPr>
        <w:t xml:space="preserve"> consider specifying the CHO in two phases</w:t>
      </w:r>
    </w:p>
    <w:p w14:paraId="2B475FD8" w14:textId="77777777" w:rsidR="00471897" w:rsidRDefault="00471897" w:rsidP="00471897">
      <w:pPr>
        <w:jc w:val="both"/>
        <w:rPr>
          <w:b/>
        </w:rPr>
      </w:pPr>
      <w:r w:rsidRPr="00B775EE">
        <w:rPr>
          <w:b/>
        </w:rPr>
        <w:t xml:space="preserve">Observation 1: </w:t>
      </w:r>
      <w:r>
        <w:rPr>
          <w:b/>
        </w:rPr>
        <w:t>Conditional handover is a promising technique for improving the handover robustness in both low and high frequency bands.</w:t>
      </w:r>
    </w:p>
    <w:p w14:paraId="3A9BB58F" w14:textId="77777777" w:rsidR="00471897" w:rsidRDefault="00471897" w:rsidP="00471897">
      <w:pPr>
        <w:jc w:val="both"/>
        <w:rPr>
          <w:b/>
        </w:rPr>
      </w:pPr>
      <w:r>
        <w:rPr>
          <w:b/>
        </w:rPr>
        <w:t>Observation 2: A realistic UE filtering and TTT (accounting the shorter coherence time) should be applied when evaluating the CHO in high frequency bands.</w:t>
      </w:r>
    </w:p>
    <w:p w14:paraId="12CB6AE2" w14:textId="77777777" w:rsidR="00471897" w:rsidRDefault="00471897" w:rsidP="00471897">
      <w:pPr>
        <w:jc w:val="both"/>
        <w:rPr>
          <w:lang w:val="en-US"/>
        </w:rPr>
      </w:pPr>
      <w:r>
        <w:rPr>
          <w:b/>
        </w:rPr>
        <w:t xml:space="preserve">Observation 3: The “baseline CHO” might not meet the user plane interruption requirements of NR. </w:t>
      </w:r>
    </w:p>
    <w:p w14:paraId="6ADF2E2D" w14:textId="77777777" w:rsidR="00471897" w:rsidRPr="001A4032" w:rsidRDefault="00471897" w:rsidP="00471897">
      <w:pPr>
        <w:jc w:val="both"/>
        <w:rPr>
          <w:b/>
          <w:lang w:val="en-US"/>
        </w:rPr>
      </w:pPr>
      <w:r>
        <w:rPr>
          <w:b/>
          <w:lang w:val="en-US"/>
        </w:rPr>
        <w:t>Observation 4</w:t>
      </w:r>
      <w:r w:rsidRPr="001A4032">
        <w:rPr>
          <w:b/>
          <w:lang w:val="en-US"/>
        </w:rPr>
        <w:t xml:space="preserve">: </w:t>
      </w:r>
      <w:r w:rsidRPr="001A4032">
        <w:rPr>
          <w:b/>
        </w:rPr>
        <w:t xml:space="preserve">The </w:t>
      </w:r>
      <w:r>
        <w:rPr>
          <w:b/>
        </w:rPr>
        <w:t>network</w:t>
      </w:r>
      <w:r w:rsidRPr="00CC2586">
        <w:rPr>
          <w:b/>
        </w:rPr>
        <w:t xml:space="preserve"> </w:t>
      </w:r>
      <w:r w:rsidRPr="00471897">
        <w:rPr>
          <w:b/>
        </w:rPr>
        <w:t>can decide on the prepared target cells and the number of them</w:t>
      </w:r>
    </w:p>
    <w:p w14:paraId="01C986DC" w14:textId="1D88B60C" w:rsidR="00471897" w:rsidRPr="00471897" w:rsidRDefault="00471897" w:rsidP="00471897">
      <w:pPr>
        <w:jc w:val="both"/>
        <w:rPr>
          <w:b/>
          <w:lang w:val="en-US"/>
        </w:rPr>
      </w:pPr>
      <w:r w:rsidRPr="005147B3">
        <w:rPr>
          <w:b/>
          <w:lang w:val="en-US"/>
        </w:rPr>
        <w:t xml:space="preserve">Observation </w:t>
      </w:r>
      <w:r>
        <w:rPr>
          <w:b/>
          <w:lang w:val="en-US"/>
        </w:rPr>
        <w:t>5</w:t>
      </w:r>
      <w:r w:rsidRPr="005147B3">
        <w:rPr>
          <w:b/>
          <w:lang w:val="en-US"/>
        </w:rPr>
        <w:t xml:space="preserve">: </w:t>
      </w:r>
      <w:r>
        <w:rPr>
          <w:b/>
          <w:lang w:val="en-US"/>
        </w:rPr>
        <w:t>The interactions with other handover mechanisms should be accounted in the design of CHO</w:t>
      </w:r>
      <w:bookmarkStart w:id="0" w:name="_GoBack"/>
      <w:bookmarkEnd w:id="0"/>
    </w:p>
    <w:p w14:paraId="7A59A8F9" w14:textId="77777777" w:rsidR="00F23DCC" w:rsidRPr="006E13D1" w:rsidRDefault="00F23DCC" w:rsidP="00F23DCC">
      <w:pPr>
        <w:pStyle w:val="Heading1"/>
      </w:pPr>
      <w:r w:rsidRPr="006E13D1">
        <w:t>References</w:t>
      </w:r>
    </w:p>
    <w:p w14:paraId="76408050" w14:textId="7B59CDBF" w:rsidR="007343F0" w:rsidRDefault="007343F0" w:rsidP="007343F0">
      <w:pPr>
        <w:numPr>
          <w:ilvl w:val="0"/>
          <w:numId w:val="4"/>
        </w:numPr>
        <w:overflowPunct w:val="0"/>
        <w:autoSpaceDE w:val="0"/>
        <w:autoSpaceDN w:val="0"/>
        <w:adjustRightInd w:val="0"/>
        <w:textAlignment w:val="baseline"/>
      </w:pPr>
      <w:bookmarkStart w:id="1" w:name="_Ref485115215"/>
      <w:bookmarkStart w:id="2" w:name="_Ref75086397"/>
      <w:r>
        <w:t xml:space="preserve">R2-1704695 </w:t>
      </w:r>
      <w:r w:rsidRPr="00471897">
        <w:rPr>
          <w:i/>
        </w:rPr>
        <w:t>RLM source in HF NR</w:t>
      </w:r>
      <w:r>
        <w:t>, Samsung, 3GPP TSG-RAN WG2 #98 Hangzhou, China, 15th – 19th May 2017</w:t>
      </w:r>
      <w:bookmarkEnd w:id="1"/>
    </w:p>
    <w:p w14:paraId="77C4928C" w14:textId="54D882A7" w:rsidR="00CC2E4D" w:rsidRPr="006E13D1" w:rsidRDefault="007343F0" w:rsidP="007343F0">
      <w:pPr>
        <w:numPr>
          <w:ilvl w:val="0"/>
          <w:numId w:val="4"/>
        </w:numPr>
        <w:overflowPunct w:val="0"/>
        <w:autoSpaceDE w:val="0"/>
        <w:autoSpaceDN w:val="0"/>
        <w:adjustRightInd w:val="0"/>
        <w:textAlignment w:val="baseline"/>
      </w:pPr>
      <w:bookmarkStart w:id="3" w:name="_Ref485115290"/>
      <w:r>
        <w:t xml:space="preserve">R2-1704087 </w:t>
      </w:r>
      <w:r w:rsidRPr="00471897">
        <w:rPr>
          <w:i/>
        </w:rPr>
        <w:t>Conditional Handover</w:t>
      </w:r>
      <w:r>
        <w:t>, Ericsson, Qualcomm, 3GPP TSG-RAN WG2 #98 Hangzhou, China, 15th – 19th May 2017</w:t>
      </w:r>
      <w:bookmarkEnd w:id="3"/>
    </w:p>
    <w:bookmarkEnd w:id="2"/>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sectPr w:rsidR="00F23DCC" w:rsidRPr="00CD4C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05063" w14:textId="77777777" w:rsidR="00D620AB" w:rsidRDefault="00D620AB">
      <w:r>
        <w:separator/>
      </w:r>
    </w:p>
  </w:endnote>
  <w:endnote w:type="continuationSeparator" w:id="0">
    <w:p w14:paraId="445C2F80" w14:textId="77777777" w:rsidR="00D620AB" w:rsidRDefault="00D6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87801" w14:textId="77777777" w:rsidR="00D620AB" w:rsidRDefault="00D620AB">
      <w:r>
        <w:separator/>
      </w:r>
    </w:p>
  </w:footnote>
  <w:footnote w:type="continuationSeparator" w:id="0">
    <w:p w14:paraId="100EF4D4" w14:textId="77777777" w:rsidR="00D620AB" w:rsidRDefault="00D6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80DE2"/>
    <w:multiLevelType w:val="hybridMultilevel"/>
    <w:tmpl w:val="7A162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3B6458"/>
    <w:multiLevelType w:val="hybridMultilevel"/>
    <w:tmpl w:val="7AF68B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5606EC"/>
    <w:multiLevelType w:val="hybridMultilevel"/>
    <w:tmpl w:val="75582E6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841C72"/>
    <w:multiLevelType w:val="hybridMultilevel"/>
    <w:tmpl w:val="3164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6117229"/>
    <w:multiLevelType w:val="hybridMultilevel"/>
    <w:tmpl w:val="AFAE4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8D43AE"/>
    <w:multiLevelType w:val="hybridMultilevel"/>
    <w:tmpl w:val="357647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0"/>
  </w:num>
  <w:num w:numId="7">
    <w:abstractNumId w:val="6"/>
  </w:num>
  <w:num w:numId="8">
    <w:abstractNumId w:val="4"/>
  </w:num>
  <w:num w:numId="9">
    <w:abstractNumId w:val="11"/>
  </w:num>
  <w:num w:numId="10">
    <w:abstractNumId w:val="1"/>
  </w:num>
  <w:num w:numId="11">
    <w:abstractNumId w:val="15"/>
  </w:num>
  <w:num w:numId="12">
    <w:abstractNumId w:val="12"/>
  </w:num>
  <w:num w:numId="13">
    <w:abstractNumId w:val="7"/>
  </w:num>
  <w:num w:numId="14">
    <w:abstractNumId w:val="13"/>
  </w:num>
  <w:num w:numId="15">
    <w:abstractNumId w:val="16"/>
  </w:num>
  <w:num w:numId="16">
    <w:abstractNumId w:val="8"/>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15285"/>
    <w:rsid w:val="00024899"/>
    <w:rsid w:val="00033397"/>
    <w:rsid w:val="00040095"/>
    <w:rsid w:val="00065AE5"/>
    <w:rsid w:val="0007151E"/>
    <w:rsid w:val="00080512"/>
    <w:rsid w:val="00082754"/>
    <w:rsid w:val="000827EB"/>
    <w:rsid w:val="000843C2"/>
    <w:rsid w:val="00087247"/>
    <w:rsid w:val="0008792F"/>
    <w:rsid w:val="00090468"/>
    <w:rsid w:val="000A2CD0"/>
    <w:rsid w:val="000B039A"/>
    <w:rsid w:val="000B1215"/>
    <w:rsid w:val="000B7BCF"/>
    <w:rsid w:val="000C522B"/>
    <w:rsid w:val="000D58AB"/>
    <w:rsid w:val="000E212C"/>
    <w:rsid w:val="000E2AFC"/>
    <w:rsid w:val="000E6ABF"/>
    <w:rsid w:val="00124312"/>
    <w:rsid w:val="00145075"/>
    <w:rsid w:val="0016357F"/>
    <w:rsid w:val="001741A0"/>
    <w:rsid w:val="001744BA"/>
    <w:rsid w:val="001806C5"/>
    <w:rsid w:val="001838BC"/>
    <w:rsid w:val="00187C43"/>
    <w:rsid w:val="00194CD0"/>
    <w:rsid w:val="001965BE"/>
    <w:rsid w:val="001A1291"/>
    <w:rsid w:val="001A16A3"/>
    <w:rsid w:val="001A4032"/>
    <w:rsid w:val="001B49C9"/>
    <w:rsid w:val="001B5B80"/>
    <w:rsid w:val="001C7258"/>
    <w:rsid w:val="001D1C70"/>
    <w:rsid w:val="001F168B"/>
    <w:rsid w:val="001F4476"/>
    <w:rsid w:val="001F7831"/>
    <w:rsid w:val="00204045"/>
    <w:rsid w:val="0022606D"/>
    <w:rsid w:val="00235C60"/>
    <w:rsid w:val="00235FCE"/>
    <w:rsid w:val="00245DC9"/>
    <w:rsid w:val="002466F3"/>
    <w:rsid w:val="002519F3"/>
    <w:rsid w:val="00253E77"/>
    <w:rsid w:val="00265923"/>
    <w:rsid w:val="002747EC"/>
    <w:rsid w:val="00275FBC"/>
    <w:rsid w:val="00282CD9"/>
    <w:rsid w:val="002855BF"/>
    <w:rsid w:val="002B1D40"/>
    <w:rsid w:val="002B73B6"/>
    <w:rsid w:val="002E6A24"/>
    <w:rsid w:val="002E7B17"/>
    <w:rsid w:val="002F0D22"/>
    <w:rsid w:val="00303ED7"/>
    <w:rsid w:val="003172DC"/>
    <w:rsid w:val="00321F66"/>
    <w:rsid w:val="00323FEB"/>
    <w:rsid w:val="00326069"/>
    <w:rsid w:val="003420CA"/>
    <w:rsid w:val="0035462D"/>
    <w:rsid w:val="003B40AD"/>
    <w:rsid w:val="003C140E"/>
    <w:rsid w:val="003C4AFF"/>
    <w:rsid w:val="003C4E37"/>
    <w:rsid w:val="003C6DE2"/>
    <w:rsid w:val="003D5E33"/>
    <w:rsid w:val="003E16BE"/>
    <w:rsid w:val="003E41C6"/>
    <w:rsid w:val="003E4D4F"/>
    <w:rsid w:val="00401855"/>
    <w:rsid w:val="00404979"/>
    <w:rsid w:val="004163FD"/>
    <w:rsid w:val="00467A62"/>
    <w:rsid w:val="00471897"/>
    <w:rsid w:val="00477455"/>
    <w:rsid w:val="00491DB5"/>
    <w:rsid w:val="004A03DF"/>
    <w:rsid w:val="004B1451"/>
    <w:rsid w:val="004C0FEA"/>
    <w:rsid w:val="004C277E"/>
    <w:rsid w:val="004D3578"/>
    <w:rsid w:val="004D380D"/>
    <w:rsid w:val="004E1440"/>
    <w:rsid w:val="004E213A"/>
    <w:rsid w:val="004E477D"/>
    <w:rsid w:val="00500D7D"/>
    <w:rsid w:val="00503171"/>
    <w:rsid w:val="00506C28"/>
    <w:rsid w:val="005147B3"/>
    <w:rsid w:val="005179E0"/>
    <w:rsid w:val="00530683"/>
    <w:rsid w:val="00534DA0"/>
    <w:rsid w:val="00540DDA"/>
    <w:rsid w:val="00542542"/>
    <w:rsid w:val="00543E6C"/>
    <w:rsid w:val="00552A87"/>
    <w:rsid w:val="0056135C"/>
    <w:rsid w:val="00565087"/>
    <w:rsid w:val="0056573F"/>
    <w:rsid w:val="00575C19"/>
    <w:rsid w:val="005801CE"/>
    <w:rsid w:val="00582D93"/>
    <w:rsid w:val="00594CD7"/>
    <w:rsid w:val="005959E4"/>
    <w:rsid w:val="00597FAB"/>
    <w:rsid w:val="005C2C5F"/>
    <w:rsid w:val="005E6BFF"/>
    <w:rsid w:val="00607F85"/>
    <w:rsid w:val="00611566"/>
    <w:rsid w:val="006172AA"/>
    <w:rsid w:val="00627F17"/>
    <w:rsid w:val="006310BD"/>
    <w:rsid w:val="00642B74"/>
    <w:rsid w:val="00646D99"/>
    <w:rsid w:val="006532CA"/>
    <w:rsid w:val="006553E5"/>
    <w:rsid w:val="00656910"/>
    <w:rsid w:val="00664DB4"/>
    <w:rsid w:val="0068518B"/>
    <w:rsid w:val="006B3ECF"/>
    <w:rsid w:val="006B6C69"/>
    <w:rsid w:val="006C0EBD"/>
    <w:rsid w:val="006C205E"/>
    <w:rsid w:val="006C66D8"/>
    <w:rsid w:val="006D1E24"/>
    <w:rsid w:val="006E1417"/>
    <w:rsid w:val="006F3212"/>
    <w:rsid w:val="006F3A23"/>
    <w:rsid w:val="006F3BF2"/>
    <w:rsid w:val="006F6A2C"/>
    <w:rsid w:val="00710201"/>
    <w:rsid w:val="00723232"/>
    <w:rsid w:val="007343F0"/>
    <w:rsid w:val="00734A5B"/>
    <w:rsid w:val="00744E76"/>
    <w:rsid w:val="007461CC"/>
    <w:rsid w:val="00757D40"/>
    <w:rsid w:val="0078018A"/>
    <w:rsid w:val="00781F0F"/>
    <w:rsid w:val="0078727C"/>
    <w:rsid w:val="00787734"/>
    <w:rsid w:val="0079049D"/>
    <w:rsid w:val="00795C55"/>
    <w:rsid w:val="007A1378"/>
    <w:rsid w:val="007B18D8"/>
    <w:rsid w:val="007C095F"/>
    <w:rsid w:val="007C394F"/>
    <w:rsid w:val="007C48AC"/>
    <w:rsid w:val="007E713E"/>
    <w:rsid w:val="007F3728"/>
    <w:rsid w:val="008028A4"/>
    <w:rsid w:val="008063D8"/>
    <w:rsid w:val="0080646C"/>
    <w:rsid w:val="00807487"/>
    <w:rsid w:val="00813245"/>
    <w:rsid w:val="00831263"/>
    <w:rsid w:val="0083163B"/>
    <w:rsid w:val="00842DD5"/>
    <w:rsid w:val="0084673A"/>
    <w:rsid w:val="008768CA"/>
    <w:rsid w:val="00877EF9"/>
    <w:rsid w:val="00880559"/>
    <w:rsid w:val="008B003D"/>
    <w:rsid w:val="008B5306"/>
    <w:rsid w:val="008D64F8"/>
    <w:rsid w:val="008D7DFC"/>
    <w:rsid w:val="008E6BCB"/>
    <w:rsid w:val="008F0F9E"/>
    <w:rsid w:val="008F6A4D"/>
    <w:rsid w:val="008F71BE"/>
    <w:rsid w:val="0090271F"/>
    <w:rsid w:val="00902DB9"/>
    <w:rsid w:val="0090466A"/>
    <w:rsid w:val="00936071"/>
    <w:rsid w:val="00940212"/>
    <w:rsid w:val="00942EC2"/>
    <w:rsid w:val="009436E9"/>
    <w:rsid w:val="009465FB"/>
    <w:rsid w:val="00953B54"/>
    <w:rsid w:val="00961B32"/>
    <w:rsid w:val="009654D6"/>
    <w:rsid w:val="00970DB3"/>
    <w:rsid w:val="00972670"/>
    <w:rsid w:val="00974BB0"/>
    <w:rsid w:val="009778F2"/>
    <w:rsid w:val="0098630D"/>
    <w:rsid w:val="009A0AF3"/>
    <w:rsid w:val="009A11F8"/>
    <w:rsid w:val="009A362C"/>
    <w:rsid w:val="009B07CD"/>
    <w:rsid w:val="009C0B83"/>
    <w:rsid w:val="009C19E9"/>
    <w:rsid w:val="009C58BC"/>
    <w:rsid w:val="009D1007"/>
    <w:rsid w:val="009D691C"/>
    <w:rsid w:val="009E4AD6"/>
    <w:rsid w:val="00A00EB0"/>
    <w:rsid w:val="00A020CF"/>
    <w:rsid w:val="00A079AD"/>
    <w:rsid w:val="00A10F02"/>
    <w:rsid w:val="00A204CA"/>
    <w:rsid w:val="00A40F64"/>
    <w:rsid w:val="00A44600"/>
    <w:rsid w:val="00A4625D"/>
    <w:rsid w:val="00A53724"/>
    <w:rsid w:val="00A607BE"/>
    <w:rsid w:val="00A65124"/>
    <w:rsid w:val="00A74428"/>
    <w:rsid w:val="00A82346"/>
    <w:rsid w:val="00A948E7"/>
    <w:rsid w:val="00A9671C"/>
    <w:rsid w:val="00AA13B5"/>
    <w:rsid w:val="00AA1553"/>
    <w:rsid w:val="00AB3B0D"/>
    <w:rsid w:val="00AB5AF7"/>
    <w:rsid w:val="00AB6720"/>
    <w:rsid w:val="00AE718E"/>
    <w:rsid w:val="00AF319A"/>
    <w:rsid w:val="00AF7E25"/>
    <w:rsid w:val="00B131FD"/>
    <w:rsid w:val="00B15449"/>
    <w:rsid w:val="00B24F59"/>
    <w:rsid w:val="00B26588"/>
    <w:rsid w:val="00B310EC"/>
    <w:rsid w:val="00B43835"/>
    <w:rsid w:val="00B44320"/>
    <w:rsid w:val="00B47FD1"/>
    <w:rsid w:val="00B516BB"/>
    <w:rsid w:val="00B60F6D"/>
    <w:rsid w:val="00B67957"/>
    <w:rsid w:val="00B747EC"/>
    <w:rsid w:val="00B775EE"/>
    <w:rsid w:val="00B826A9"/>
    <w:rsid w:val="00B91014"/>
    <w:rsid w:val="00BC00FA"/>
    <w:rsid w:val="00BD1313"/>
    <w:rsid w:val="00BD6F75"/>
    <w:rsid w:val="00BE2569"/>
    <w:rsid w:val="00BF61A6"/>
    <w:rsid w:val="00BF7E56"/>
    <w:rsid w:val="00C00988"/>
    <w:rsid w:val="00C02760"/>
    <w:rsid w:val="00C11956"/>
    <w:rsid w:val="00C12B51"/>
    <w:rsid w:val="00C14634"/>
    <w:rsid w:val="00C1544D"/>
    <w:rsid w:val="00C222B6"/>
    <w:rsid w:val="00C24650"/>
    <w:rsid w:val="00C33079"/>
    <w:rsid w:val="00C60FFB"/>
    <w:rsid w:val="00C7288E"/>
    <w:rsid w:val="00C76C00"/>
    <w:rsid w:val="00C80730"/>
    <w:rsid w:val="00C83A13"/>
    <w:rsid w:val="00C853ED"/>
    <w:rsid w:val="00C9068C"/>
    <w:rsid w:val="00C92967"/>
    <w:rsid w:val="00CA3D0C"/>
    <w:rsid w:val="00CA4460"/>
    <w:rsid w:val="00CA654B"/>
    <w:rsid w:val="00CB077F"/>
    <w:rsid w:val="00CB1FF7"/>
    <w:rsid w:val="00CB392C"/>
    <w:rsid w:val="00CC2586"/>
    <w:rsid w:val="00CC2E4D"/>
    <w:rsid w:val="00CD4C7B"/>
    <w:rsid w:val="00CF0C74"/>
    <w:rsid w:val="00D33418"/>
    <w:rsid w:val="00D44F98"/>
    <w:rsid w:val="00D620AB"/>
    <w:rsid w:val="00D66F5B"/>
    <w:rsid w:val="00D738D6"/>
    <w:rsid w:val="00D80795"/>
    <w:rsid w:val="00D87E00"/>
    <w:rsid w:val="00D9134D"/>
    <w:rsid w:val="00D91C29"/>
    <w:rsid w:val="00D954D8"/>
    <w:rsid w:val="00D968A7"/>
    <w:rsid w:val="00D96D11"/>
    <w:rsid w:val="00DA008D"/>
    <w:rsid w:val="00DA3248"/>
    <w:rsid w:val="00DA7A03"/>
    <w:rsid w:val="00DB1818"/>
    <w:rsid w:val="00DC309B"/>
    <w:rsid w:val="00DC4DA2"/>
    <w:rsid w:val="00DF4B4A"/>
    <w:rsid w:val="00DF657B"/>
    <w:rsid w:val="00E03E08"/>
    <w:rsid w:val="00E044C8"/>
    <w:rsid w:val="00E47123"/>
    <w:rsid w:val="00E56904"/>
    <w:rsid w:val="00E62835"/>
    <w:rsid w:val="00E738AB"/>
    <w:rsid w:val="00E73AA0"/>
    <w:rsid w:val="00E74580"/>
    <w:rsid w:val="00E77645"/>
    <w:rsid w:val="00E779F8"/>
    <w:rsid w:val="00E77C6A"/>
    <w:rsid w:val="00E8332D"/>
    <w:rsid w:val="00E83697"/>
    <w:rsid w:val="00EB04AE"/>
    <w:rsid w:val="00EB19C1"/>
    <w:rsid w:val="00EB26C3"/>
    <w:rsid w:val="00EC4A25"/>
    <w:rsid w:val="00EC7BB8"/>
    <w:rsid w:val="00ED1DAD"/>
    <w:rsid w:val="00ED38B5"/>
    <w:rsid w:val="00F00BC7"/>
    <w:rsid w:val="00F025A2"/>
    <w:rsid w:val="00F07388"/>
    <w:rsid w:val="00F2026E"/>
    <w:rsid w:val="00F20387"/>
    <w:rsid w:val="00F2210A"/>
    <w:rsid w:val="00F22A2D"/>
    <w:rsid w:val="00F23DCC"/>
    <w:rsid w:val="00F37743"/>
    <w:rsid w:val="00F50170"/>
    <w:rsid w:val="00F54A3D"/>
    <w:rsid w:val="00F653B8"/>
    <w:rsid w:val="00F71B89"/>
    <w:rsid w:val="00F71DA0"/>
    <w:rsid w:val="00F7353C"/>
    <w:rsid w:val="00F75A44"/>
    <w:rsid w:val="00F76CB5"/>
    <w:rsid w:val="00F76F8F"/>
    <w:rsid w:val="00F806B3"/>
    <w:rsid w:val="00F83E8E"/>
    <w:rsid w:val="00F93350"/>
    <w:rsid w:val="00FA1266"/>
    <w:rsid w:val="00FA4F5D"/>
    <w:rsid w:val="00FB3D74"/>
    <w:rsid w:val="00FC1192"/>
    <w:rsid w:val="00FD4E6C"/>
    <w:rsid w:val="00FF4248"/>
    <w:rsid w:val="00FF5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 w:type="paragraph" w:customStyle="1" w:styleId="Doc-text2">
    <w:name w:val="Doc-text2"/>
    <w:basedOn w:val="Normal"/>
    <w:link w:val="Doc-text2Char"/>
    <w:qFormat/>
    <w:rsid w:val="002E7B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7B1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3326">
      <w:bodyDiv w:val="1"/>
      <w:marLeft w:val="0"/>
      <w:marRight w:val="0"/>
      <w:marTop w:val="0"/>
      <w:marBottom w:val="0"/>
      <w:divBdr>
        <w:top w:val="none" w:sz="0" w:space="0" w:color="auto"/>
        <w:left w:val="none" w:sz="0" w:space="0" w:color="auto"/>
        <w:bottom w:val="none" w:sz="0" w:space="0" w:color="auto"/>
        <w:right w:val="none" w:sz="0" w:space="0" w:color="auto"/>
      </w:divBdr>
    </w:div>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205070350">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880047852">
      <w:bodyDiv w:val="1"/>
      <w:marLeft w:val="0"/>
      <w:marRight w:val="0"/>
      <w:marTop w:val="0"/>
      <w:marBottom w:val="0"/>
      <w:divBdr>
        <w:top w:val="none" w:sz="0" w:space="0" w:color="auto"/>
        <w:left w:val="none" w:sz="0" w:space="0" w:color="auto"/>
        <w:bottom w:val="none" w:sz="0" w:space="0" w:color="auto"/>
        <w:right w:val="none" w:sz="0" w:space="0" w:color="auto"/>
      </w:divBdr>
    </w:div>
    <w:div w:id="887957979">
      <w:bodyDiv w:val="1"/>
      <w:marLeft w:val="0"/>
      <w:marRight w:val="0"/>
      <w:marTop w:val="0"/>
      <w:marBottom w:val="0"/>
      <w:divBdr>
        <w:top w:val="none" w:sz="0" w:space="0" w:color="auto"/>
        <w:left w:val="none" w:sz="0" w:space="0" w:color="auto"/>
        <w:bottom w:val="none" w:sz="0" w:space="0" w:color="auto"/>
        <w:right w:val="none" w:sz="0" w:space="0" w:color="auto"/>
      </w:divBdr>
    </w:div>
    <w:div w:id="1098329994">
      <w:bodyDiv w:val="1"/>
      <w:marLeft w:val="0"/>
      <w:marRight w:val="0"/>
      <w:marTop w:val="0"/>
      <w:marBottom w:val="0"/>
      <w:divBdr>
        <w:top w:val="none" w:sz="0" w:space="0" w:color="auto"/>
        <w:left w:val="none" w:sz="0" w:space="0" w:color="auto"/>
        <w:bottom w:val="none" w:sz="0" w:space="0" w:color="auto"/>
        <w:right w:val="none" w:sz="0" w:space="0" w:color="auto"/>
      </w:divBdr>
    </w:div>
    <w:div w:id="1166362673">
      <w:bodyDiv w:val="1"/>
      <w:marLeft w:val="0"/>
      <w:marRight w:val="0"/>
      <w:marTop w:val="0"/>
      <w:marBottom w:val="0"/>
      <w:divBdr>
        <w:top w:val="none" w:sz="0" w:space="0" w:color="auto"/>
        <w:left w:val="none" w:sz="0" w:space="0" w:color="auto"/>
        <w:bottom w:val="none" w:sz="0" w:space="0" w:color="auto"/>
        <w:right w:val="none" w:sz="0" w:space="0" w:color="auto"/>
      </w:divBdr>
    </w:div>
    <w:div w:id="1242835016">
      <w:bodyDiv w:val="1"/>
      <w:marLeft w:val="0"/>
      <w:marRight w:val="0"/>
      <w:marTop w:val="0"/>
      <w:marBottom w:val="0"/>
      <w:divBdr>
        <w:top w:val="none" w:sz="0" w:space="0" w:color="auto"/>
        <w:left w:val="none" w:sz="0" w:space="0" w:color="auto"/>
        <w:bottom w:val="none" w:sz="0" w:space="0" w:color="auto"/>
        <w:right w:val="none" w:sz="0" w:space="0" w:color="auto"/>
      </w:divBdr>
    </w:div>
    <w:div w:id="1296987403">
      <w:bodyDiv w:val="1"/>
      <w:marLeft w:val="0"/>
      <w:marRight w:val="0"/>
      <w:marTop w:val="0"/>
      <w:marBottom w:val="0"/>
      <w:divBdr>
        <w:top w:val="none" w:sz="0" w:space="0" w:color="auto"/>
        <w:left w:val="none" w:sz="0" w:space="0" w:color="auto"/>
        <w:bottom w:val="none" w:sz="0" w:space="0" w:color="auto"/>
        <w:right w:val="none" w:sz="0" w:space="0" w:color="auto"/>
      </w:divBdr>
    </w:div>
    <w:div w:id="1569997978">
      <w:bodyDiv w:val="1"/>
      <w:marLeft w:val="0"/>
      <w:marRight w:val="0"/>
      <w:marTop w:val="0"/>
      <w:marBottom w:val="0"/>
      <w:divBdr>
        <w:top w:val="none" w:sz="0" w:space="0" w:color="auto"/>
        <w:left w:val="none" w:sz="0" w:space="0" w:color="auto"/>
        <w:bottom w:val="none" w:sz="0" w:space="0" w:color="auto"/>
        <w:right w:val="none" w:sz="0" w:space="0" w:color="auto"/>
      </w:divBdr>
    </w:div>
    <w:div w:id="1600021465">
      <w:bodyDiv w:val="1"/>
      <w:marLeft w:val="0"/>
      <w:marRight w:val="0"/>
      <w:marTop w:val="0"/>
      <w:marBottom w:val="0"/>
      <w:divBdr>
        <w:top w:val="none" w:sz="0" w:space="0" w:color="auto"/>
        <w:left w:val="none" w:sz="0" w:space="0" w:color="auto"/>
        <w:bottom w:val="none" w:sz="0" w:space="0" w:color="auto"/>
        <w:right w:val="none" w:sz="0" w:space="0" w:color="auto"/>
      </w:divBdr>
    </w:div>
    <w:div w:id="1695376846">
      <w:bodyDiv w:val="1"/>
      <w:marLeft w:val="0"/>
      <w:marRight w:val="0"/>
      <w:marTop w:val="0"/>
      <w:marBottom w:val="0"/>
      <w:divBdr>
        <w:top w:val="none" w:sz="0" w:space="0" w:color="auto"/>
        <w:left w:val="none" w:sz="0" w:space="0" w:color="auto"/>
        <w:bottom w:val="none" w:sz="0" w:space="0" w:color="auto"/>
        <w:right w:val="none" w:sz="0" w:space="0" w:color="auto"/>
      </w:divBdr>
    </w:div>
    <w:div w:id="1847330460">
      <w:bodyDiv w:val="1"/>
      <w:marLeft w:val="0"/>
      <w:marRight w:val="0"/>
      <w:marTop w:val="0"/>
      <w:marBottom w:val="0"/>
      <w:divBdr>
        <w:top w:val="none" w:sz="0" w:space="0" w:color="auto"/>
        <w:left w:val="none" w:sz="0" w:space="0" w:color="auto"/>
        <w:bottom w:val="none" w:sz="0" w:space="0" w:color="auto"/>
        <w:right w:val="none" w:sz="0" w:space="0" w:color="auto"/>
      </w:divBdr>
    </w:div>
    <w:div w:id="1886404885">
      <w:bodyDiv w:val="1"/>
      <w:marLeft w:val="0"/>
      <w:marRight w:val="0"/>
      <w:marTop w:val="0"/>
      <w:marBottom w:val="0"/>
      <w:divBdr>
        <w:top w:val="none" w:sz="0" w:space="0" w:color="auto"/>
        <w:left w:val="none" w:sz="0" w:space="0" w:color="auto"/>
        <w:bottom w:val="none" w:sz="0" w:space="0" w:color="auto"/>
        <w:right w:val="none" w:sz="0" w:space="0" w:color="auto"/>
      </w:divBdr>
    </w:div>
    <w:div w:id="1954172309">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 w:id="2056465969">
      <w:bodyDiv w:val="1"/>
      <w:marLeft w:val="0"/>
      <w:marRight w:val="0"/>
      <w:marTop w:val="0"/>
      <w:marBottom w:val="0"/>
      <w:divBdr>
        <w:top w:val="none" w:sz="0" w:space="0" w:color="auto"/>
        <w:left w:val="none" w:sz="0" w:space="0" w:color="auto"/>
        <w:bottom w:val="none" w:sz="0" w:space="0" w:color="auto"/>
        <w:right w:val="none" w:sz="0" w:space="0" w:color="auto"/>
      </w:divBdr>
    </w:div>
    <w:div w:id="20655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SP-5AIRPNAIUNRU-859666464-432</_dlc_DocId>
    <_dlc_DocIdUrl xmlns="71c5aaf6-e6ce-465b-b873-5148d2a4c105">
      <Url>https://nokia.sharepoint.com/sites/c5g/e2earch/_layouts/15/DocIdRedir.aspx?ID=SP-5AIRPNAIUNRU-859666464-432</Url>
      <Description>SP-5AIRPNAIUNRU-859666464-432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E22F5-0F6C-45A0-9B48-516ADFD840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3.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4.xml><?xml version="1.0" encoding="utf-8"?>
<ds:datastoreItem xmlns:ds="http://schemas.openxmlformats.org/officeDocument/2006/customXml" ds:itemID="{E91B44BC-627D-4A62-BDE5-DF2176E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cp:revision>
  <dcterms:created xsi:type="dcterms:W3CDTF">2017-06-16T20:28:00Z</dcterms:created>
  <dcterms:modified xsi:type="dcterms:W3CDTF">2017-06-16T20:31:00Z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f3c32e3e-c81e-4eb8-a07f-7c2cd49970a2</vt:lpwstr>
  </property>
</Properties>
</file>